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EEE208C" w:rsidR="00AF3657" w:rsidRPr="00E57EBE" w:rsidRDefault="0074024E" w:rsidP="00AF3657">
      <w:pPr>
        <w:pStyle w:val="Docketnumber"/>
        <w:rPr>
          <w:sz w:val="24"/>
          <w:szCs w:val="24"/>
        </w:rPr>
      </w:pPr>
      <w:r>
        <w:rPr>
          <w:sz w:val="24"/>
          <w:szCs w:val="24"/>
        </w:rPr>
        <w:t xml:space="preserve">DOCKET NO. </w:t>
      </w:r>
      <w:r w:rsidR="00E80B94">
        <w:rPr>
          <w:sz w:val="24"/>
          <w:szCs w:val="24"/>
        </w:rPr>
        <w:t>51698</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6F31B080" w:rsidR="00AF3657" w:rsidRPr="005F7197" w:rsidRDefault="005F7197" w:rsidP="001A1EC8">
            <w:pPr>
              <w:autoSpaceDE w:val="0"/>
              <w:autoSpaceDN w:val="0"/>
              <w:adjustRightInd w:val="0"/>
              <w:jc w:val="left"/>
              <w:rPr>
                <w:rFonts w:ascii="Times New Roman Bold" w:hAnsi="Times New Roman Bold"/>
                <w:b/>
                <w:caps/>
              </w:rPr>
            </w:pPr>
            <w:r w:rsidRPr="005F7197">
              <w:rPr>
                <w:rFonts w:ascii="Times New Roman Bold" w:hAnsi="Times New Roman Bold"/>
                <w:b/>
                <w:caps/>
              </w:rPr>
              <w:t xml:space="preserve">Petition of Trendmaker Homes, Inc. to Amend MSEC Enterprises Inc.’s Certificate of Convenience and Necessity in </w:t>
            </w:r>
            <w:r w:rsidRPr="005F7197">
              <w:rPr>
                <w:rFonts w:ascii="Times New Roman Bold" w:hAnsi="Times New Roman Bold"/>
                <w:b/>
                <w:iCs/>
                <w:caps/>
              </w:rPr>
              <w:t>Montgomery</w:t>
            </w:r>
            <w:r w:rsidRPr="005F7197">
              <w:rPr>
                <w:rFonts w:ascii="Times New Roman Bold" w:hAnsi="Times New Roman Bold"/>
                <w:b/>
                <w:caps/>
              </w:rPr>
              <w:t xml:space="preserve">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77777777"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proposed notice</w:t>
      </w:r>
    </w:p>
    <w:p w14:paraId="1680F24E" w14:textId="77777777" w:rsidR="00A720BC" w:rsidRDefault="00A720BC" w:rsidP="00A720BC">
      <w:pPr>
        <w:pStyle w:val="Documentheading"/>
      </w:pPr>
    </w:p>
    <w:p w14:paraId="50FD0065" w14:textId="49F562BC" w:rsidR="00A4534F" w:rsidRDefault="00A4534F" w:rsidP="00A4534F">
      <w:pPr>
        <w:pStyle w:val="Default"/>
        <w:spacing w:line="360" w:lineRule="auto"/>
        <w:ind w:firstLine="720"/>
        <w:jc w:val="both"/>
      </w:pPr>
      <w:r>
        <w:t xml:space="preserve">On </w:t>
      </w:r>
      <w:r w:rsidR="00C535DC">
        <w:t>January 8</w:t>
      </w:r>
      <w:r>
        <w:t>, 202</w:t>
      </w:r>
      <w:r w:rsidR="00C535DC">
        <w:t>1</w:t>
      </w:r>
      <w:r>
        <w:t xml:space="preserve">, </w:t>
      </w:r>
      <w:proofErr w:type="spellStart"/>
      <w:r w:rsidR="00C535DC" w:rsidRPr="0069363F">
        <w:rPr>
          <w:rFonts w:eastAsiaTheme="minorHAnsi"/>
        </w:rPr>
        <w:t>Trendmaker</w:t>
      </w:r>
      <w:proofErr w:type="spellEnd"/>
      <w:r w:rsidR="00C535DC" w:rsidRPr="0069363F">
        <w:rPr>
          <w:rFonts w:eastAsiaTheme="minorHAnsi"/>
        </w:rPr>
        <w:t xml:space="preserve"> Homes, Inc.</w:t>
      </w:r>
      <w:r w:rsidR="00C535DC" w:rsidRPr="0069363F">
        <w:rPr>
          <w:bCs/>
        </w:rPr>
        <w:t xml:space="preserve"> </w:t>
      </w:r>
      <w:r>
        <w:t>(</w:t>
      </w:r>
      <w:proofErr w:type="spellStart"/>
      <w:r w:rsidR="00C535DC">
        <w:t>Trendmaker</w:t>
      </w:r>
      <w:proofErr w:type="spellEnd"/>
      <w:r>
        <w:t xml:space="preserve">) filed a </w:t>
      </w:r>
      <w:r w:rsidR="0075312E">
        <w:t>peti</w:t>
      </w:r>
      <w:r>
        <w:t xml:space="preserve">tion to amend </w:t>
      </w:r>
      <w:r w:rsidR="00C535DC" w:rsidRPr="0069363F">
        <w:rPr>
          <w:iCs/>
        </w:rPr>
        <w:t>MSEC Enterprises, Inc.</w:t>
      </w:r>
      <w:r w:rsidR="00DC2B96">
        <w:rPr>
          <w:rFonts w:eastAsiaTheme="minorHAnsi"/>
        </w:rPr>
        <w:t>’</w:t>
      </w:r>
      <w:r w:rsidR="00C524BE" w:rsidRPr="00DF0FF5">
        <w:rPr>
          <w:rFonts w:eastAsiaTheme="minorHAnsi"/>
        </w:rPr>
        <w:t xml:space="preserve">s </w:t>
      </w:r>
      <w:r w:rsidR="001A1EC8" w:rsidRPr="00332E0F">
        <w:rPr>
          <w:rFonts w:eastAsiaTheme="minorHAnsi"/>
        </w:rPr>
        <w:t>(</w:t>
      </w:r>
      <w:r w:rsidR="00C535DC">
        <w:rPr>
          <w:rFonts w:eastAsiaTheme="minorHAnsi"/>
        </w:rPr>
        <w:t>MSEC</w:t>
      </w:r>
      <w:r w:rsidR="001A1EC8" w:rsidRPr="00332E0F">
        <w:rPr>
          <w:rFonts w:eastAsiaTheme="minorHAnsi"/>
        </w:rPr>
        <w:t>) w</w:t>
      </w:r>
      <w:r w:rsidR="001E08DE">
        <w:rPr>
          <w:rFonts w:eastAsiaTheme="minorHAnsi"/>
        </w:rPr>
        <w:t>at</w:t>
      </w:r>
      <w:r w:rsidR="001A1EC8" w:rsidRPr="00332E0F">
        <w:rPr>
          <w:rFonts w:eastAsiaTheme="minorHAnsi"/>
        </w:rPr>
        <w:t xml:space="preserve">er certificate of convenience and necessity (CCN) No. </w:t>
      </w:r>
      <w:r w:rsidR="001E08DE">
        <w:rPr>
          <w:rFonts w:eastAsiaTheme="minorHAnsi"/>
        </w:rPr>
        <w:t>12</w:t>
      </w:r>
      <w:r w:rsidR="00C524BE">
        <w:rPr>
          <w:rFonts w:eastAsiaTheme="minorHAnsi"/>
        </w:rPr>
        <w:t>8</w:t>
      </w:r>
      <w:r w:rsidR="00C535DC">
        <w:rPr>
          <w:rFonts w:eastAsiaTheme="minorHAnsi"/>
        </w:rPr>
        <w:t>87</w:t>
      </w:r>
      <w:r w:rsidR="001A1EC8" w:rsidRPr="00332E0F">
        <w:rPr>
          <w:rFonts w:eastAsiaTheme="minorHAnsi"/>
        </w:rPr>
        <w:t xml:space="preserve"> in </w:t>
      </w:r>
      <w:r w:rsidR="00C524BE">
        <w:t>Montgomery</w:t>
      </w:r>
      <w:r w:rsidR="001A1EC8" w:rsidRPr="00332E0F">
        <w:rPr>
          <w:rFonts w:eastAsiaTheme="minorHAnsi"/>
        </w:rPr>
        <w:t xml:space="preserve"> County, </w:t>
      </w:r>
      <w:r w:rsidR="001D1456">
        <w:rPr>
          <w:rFonts w:eastAsiaTheme="minorHAnsi"/>
        </w:rPr>
        <w:t xml:space="preserve">Texas, </w:t>
      </w:r>
      <w:r w:rsidR="001A1EC8" w:rsidRPr="00332E0F">
        <w:rPr>
          <w:rFonts w:eastAsiaTheme="minorHAnsi"/>
        </w:rPr>
        <w:t>under Texas Water Code (TWC) §</w:t>
      </w:r>
      <w:r w:rsidR="00C524BE">
        <w:rPr>
          <w:rFonts w:eastAsiaTheme="minorHAnsi"/>
        </w:rPr>
        <w:t> </w:t>
      </w:r>
      <w:r w:rsidR="001A1EC8" w:rsidRPr="00332E0F">
        <w:rPr>
          <w:rFonts w:eastAsiaTheme="minorHAnsi"/>
        </w:rPr>
        <w:t>13.2541(b) and 16 Texas Administrative Code (TAC) § 24.245(h).</w:t>
      </w:r>
      <w:r>
        <w:t xml:space="preserve"> </w:t>
      </w:r>
    </w:p>
    <w:p w14:paraId="15050A05" w14:textId="35464917" w:rsidR="00A4534F" w:rsidRDefault="00A4534F" w:rsidP="00A4534F">
      <w:pPr>
        <w:spacing w:line="360" w:lineRule="auto"/>
        <w:ind w:firstLine="720"/>
        <w:rPr>
          <w:szCs w:val="24"/>
        </w:rPr>
      </w:pPr>
      <w:r>
        <w:rPr>
          <w:szCs w:val="24"/>
        </w:rPr>
        <w:t xml:space="preserve">Order No. </w:t>
      </w:r>
      <w:r w:rsidR="001A1EC8">
        <w:rPr>
          <w:szCs w:val="24"/>
        </w:rPr>
        <w:t>1</w:t>
      </w:r>
      <w:r>
        <w:rPr>
          <w:szCs w:val="24"/>
        </w:rPr>
        <w:t xml:space="preserve">, </w:t>
      </w:r>
      <w:r w:rsidR="00DC2B96">
        <w:rPr>
          <w:szCs w:val="24"/>
        </w:rPr>
        <w:t>filed on</w:t>
      </w:r>
      <w:r>
        <w:rPr>
          <w:szCs w:val="24"/>
        </w:rPr>
        <w:t xml:space="preserve"> </w:t>
      </w:r>
      <w:r w:rsidR="00C535DC">
        <w:rPr>
          <w:szCs w:val="24"/>
        </w:rPr>
        <w:t>January 12</w:t>
      </w:r>
      <w:r>
        <w:rPr>
          <w:szCs w:val="24"/>
        </w:rPr>
        <w:t>, 202</w:t>
      </w:r>
      <w:r w:rsidR="00C535DC">
        <w:rPr>
          <w:szCs w:val="24"/>
        </w:rPr>
        <w:t>1</w:t>
      </w:r>
      <w:r>
        <w:rPr>
          <w:szCs w:val="24"/>
        </w:rPr>
        <w:t>,</w:t>
      </w:r>
      <w:r w:rsidR="00DC2B96">
        <w:rPr>
          <w:szCs w:val="24"/>
        </w:rPr>
        <w:t xml:space="preserve"> established a deadline of February 8, 2021 for</w:t>
      </w:r>
      <w:r>
        <w:rPr>
          <w:szCs w:val="24"/>
        </w:rPr>
        <w:t xml:space="preserve"> </w:t>
      </w:r>
      <w:r w:rsidR="00EF093D" w:rsidRPr="007C5B4F">
        <w:rPr>
          <w:szCs w:val="24"/>
        </w:rPr>
        <w:t xml:space="preserve">Staff of the Public Utility Commission of Texas </w:t>
      </w:r>
      <w:r w:rsidR="0075312E">
        <w:rPr>
          <w:szCs w:val="24"/>
        </w:rPr>
        <w:t xml:space="preserve">(Staff) </w:t>
      </w:r>
      <w:r>
        <w:rPr>
          <w:szCs w:val="24"/>
        </w:rPr>
        <w:t xml:space="preserve">to file a recommendation on sufficiency of the </w:t>
      </w:r>
      <w:r w:rsidR="0075312E">
        <w:rPr>
          <w:szCs w:val="24"/>
        </w:rPr>
        <w:t>peti</w:t>
      </w:r>
      <w:r>
        <w:rPr>
          <w:szCs w:val="24"/>
        </w:rPr>
        <w:t>tion. Therefore, this pleading is timely filed.</w:t>
      </w:r>
    </w:p>
    <w:p w14:paraId="40DF0D20" w14:textId="7D5E27CC"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t>ADMINISTRATIVE COMPLETENESS</w:t>
      </w:r>
    </w:p>
    <w:p w14:paraId="5CEDF657" w14:textId="0709631F" w:rsidR="00BA5F24" w:rsidRDefault="00BA5F24" w:rsidP="00A4534F">
      <w:pPr>
        <w:spacing w:line="360" w:lineRule="auto"/>
        <w:ind w:firstLine="720"/>
      </w:pPr>
      <w:r>
        <w:t xml:space="preserve">As detailed in the attached memorandum </w:t>
      </w:r>
      <w:r w:rsidR="00EF093D">
        <w:t>of</w:t>
      </w:r>
      <w:r>
        <w:t xml:space="preserve"> </w:t>
      </w:r>
      <w:r w:rsidR="00C535DC">
        <w:t>Patricia Garcia</w:t>
      </w:r>
      <w:r w:rsidR="00C524BE">
        <w:t xml:space="preserve"> </w:t>
      </w:r>
      <w:r w:rsidR="00EF093D">
        <w:t>of</w:t>
      </w:r>
      <w:r>
        <w:t xml:space="preserve"> the Commission’s </w:t>
      </w:r>
      <w:r w:rsidR="00A4534F" w:rsidRPr="009C3D89">
        <w:t>Infrastructure Division</w:t>
      </w:r>
      <w:r>
        <w:t xml:space="preserve">, Staff has reviewed the petition for </w:t>
      </w:r>
      <w:r w:rsidR="00EF093D">
        <w:t xml:space="preserve">streamlined </w:t>
      </w:r>
      <w:r>
        <w:t>expedited release and recommends that it be found administratively complete.</w:t>
      </w:r>
      <w:r w:rsidR="00DA4EF7">
        <w:t xml:space="preserve"> Staff notes that the affidavit of Collins Pier submitted with the petition requests the release of the tract from “sewer CCN No. 12887.” However, the petition itself  refers to water CCN No. 12887</w:t>
      </w:r>
      <w:r w:rsidR="00A30DD6">
        <w:t xml:space="preserve"> and Mr. Pier’s affidavit states that the property “is not receiving water or sewer service from MSEC</w:t>
      </w:r>
      <w:r w:rsidR="00DA4EF7">
        <w:t>.</w:t>
      </w:r>
      <w:r w:rsidR="00A30DD6">
        <w:t>” Accordingly, Staff recommends that the reference to sewer CCN No. 12887 be treated as a scrivener’s error and should not prevent a finding that the petition is administratively complete.</w:t>
      </w:r>
    </w:p>
    <w:p w14:paraId="3010614A" w14:textId="77777777" w:rsidR="007A5BCF" w:rsidRDefault="007A5BCF" w:rsidP="007A5BCF">
      <w:pPr>
        <w:spacing w:line="360" w:lineRule="auto"/>
        <w:ind w:firstLine="720"/>
      </w:pPr>
    </w:p>
    <w:p w14:paraId="33DCE4EA" w14:textId="2AF821D1" w:rsidR="00BA5F24" w:rsidRPr="00B23DBC" w:rsidRDefault="00BA5F24" w:rsidP="00BA5F24">
      <w:pPr>
        <w:pStyle w:val="ListParagraph"/>
        <w:numPr>
          <w:ilvl w:val="0"/>
          <w:numId w:val="10"/>
        </w:numPr>
        <w:spacing w:line="360" w:lineRule="auto"/>
        <w:ind w:left="0" w:firstLine="0"/>
        <w:jc w:val="center"/>
        <w:rPr>
          <w:rFonts w:ascii="Times New Roman Bold" w:hAnsi="Times New Roman Bold"/>
          <w:b/>
          <w:caps/>
        </w:rPr>
      </w:pPr>
      <w:r w:rsidRPr="00B23DBC">
        <w:rPr>
          <w:rFonts w:ascii="Times New Roman Bold" w:hAnsi="Times New Roman Bold"/>
          <w:b/>
          <w:caps/>
        </w:rPr>
        <w:t>Notice Sufficiency</w:t>
      </w:r>
    </w:p>
    <w:p w14:paraId="3C46B927" w14:textId="3B99E88F" w:rsidR="00BA5F24" w:rsidRDefault="00BA5F24" w:rsidP="00BA5F24">
      <w:pPr>
        <w:spacing w:line="360" w:lineRule="auto"/>
        <w:ind w:firstLine="810"/>
        <w:rPr>
          <w:rFonts w:ascii="Calibri" w:hAnsi="Calibri"/>
          <w:sz w:val="22"/>
          <w:szCs w:val="22"/>
        </w:rPr>
      </w:pPr>
      <w:r>
        <w:t xml:space="preserve">Under </w:t>
      </w:r>
      <w:r w:rsidRPr="00DA3D4F">
        <w:rPr>
          <w:szCs w:val="24"/>
        </w:rPr>
        <w:t>16 TAC § 24.245(</w:t>
      </w:r>
      <w:r w:rsidR="009F01B4">
        <w:rPr>
          <w:szCs w:val="24"/>
        </w:rPr>
        <w:t>h</w:t>
      </w:r>
      <w:r w:rsidRPr="00DA3D4F">
        <w:rPr>
          <w:szCs w:val="24"/>
        </w:rPr>
        <w:t>)(</w:t>
      </w:r>
      <w:r w:rsidR="009F01B4">
        <w:rPr>
          <w:szCs w:val="24"/>
        </w:rPr>
        <w:t>3</w:t>
      </w:r>
      <w:r w:rsidRPr="00DA3D4F">
        <w:rPr>
          <w:szCs w:val="24"/>
        </w:rPr>
        <w:t>)(</w:t>
      </w:r>
      <w:r w:rsidR="001D1456">
        <w:rPr>
          <w:szCs w:val="24"/>
        </w:rPr>
        <w:t>F</w:t>
      </w:r>
      <w:r w:rsidRPr="00DA3D4F">
        <w:rPr>
          <w:szCs w:val="24"/>
        </w:rPr>
        <w:t>),</w:t>
      </w:r>
      <w:r>
        <w:t xml:space="preserve"> the landowner must provide proof that a copy of the petition has been mailed to the current CCN holder via certified mail on the day that the landowner </w:t>
      </w:r>
      <w:r w:rsidR="0075312E">
        <w:t>files</w:t>
      </w:r>
      <w:r>
        <w:t xml:space="preserve"> the petition with the Commission.</w:t>
      </w:r>
      <w:r w:rsidRPr="00DA3D4F">
        <w:rPr>
          <w:rFonts w:ascii="Calibri" w:hAnsi="Calibri"/>
          <w:sz w:val="22"/>
          <w:szCs w:val="22"/>
        </w:rPr>
        <w:t xml:space="preserve"> </w:t>
      </w:r>
    </w:p>
    <w:p w14:paraId="0039E656" w14:textId="11C3A47F" w:rsidR="00BA5F24" w:rsidRPr="00395FC5" w:rsidRDefault="00C535DC" w:rsidP="00BA5F24">
      <w:pPr>
        <w:spacing w:line="360" w:lineRule="auto"/>
        <w:ind w:firstLine="810"/>
      </w:pPr>
      <w:proofErr w:type="spellStart"/>
      <w:r>
        <w:lastRenderedPageBreak/>
        <w:t>Trendmaker</w:t>
      </w:r>
      <w:proofErr w:type="spellEnd"/>
      <w:r w:rsidR="00BA5F24">
        <w:t xml:space="preserve"> state</w:t>
      </w:r>
      <w:r w:rsidR="001E08DE">
        <w:t>s</w:t>
      </w:r>
      <w:r w:rsidR="00BA5F24">
        <w:t xml:space="preserve"> in its filing that it mailed a copy of its petition to the CCN holder, </w:t>
      </w:r>
      <w:r>
        <w:t>MSEC</w:t>
      </w:r>
      <w:r w:rsidR="00BA5F24">
        <w:t xml:space="preserve">, by certified mail on the day the petition was filed with the Commission. </w:t>
      </w:r>
      <w:proofErr w:type="spellStart"/>
      <w:r>
        <w:t>Trendmaker</w:t>
      </w:r>
      <w:proofErr w:type="spellEnd"/>
      <w:r w:rsidR="00BA5F24">
        <w:t xml:space="preserve"> also included an affidavit attesting to this provision of notice to </w:t>
      </w:r>
      <w:r>
        <w:t>MSEC</w:t>
      </w:r>
      <w:r w:rsidR="00BA5F24">
        <w:t>. Accordingly, Staff recommends that the notice be found sufficient.</w:t>
      </w:r>
    </w:p>
    <w:p w14:paraId="48462A90" w14:textId="77777777" w:rsidR="00BA5F24" w:rsidRDefault="00BA5F24" w:rsidP="00BA5F24">
      <w:pPr>
        <w:ind w:firstLine="720"/>
      </w:pPr>
    </w:p>
    <w:p w14:paraId="46DBAE6E" w14:textId="77777777" w:rsidR="00BA5F24" w:rsidRDefault="00BA5F24" w:rsidP="00BA5F24">
      <w:pPr>
        <w:pStyle w:val="ListParagraph"/>
        <w:keepNext/>
        <w:numPr>
          <w:ilvl w:val="0"/>
          <w:numId w:val="10"/>
        </w:numPr>
        <w:spacing w:line="360" w:lineRule="auto"/>
        <w:jc w:val="center"/>
        <w:rPr>
          <w:b/>
        </w:rPr>
      </w:pPr>
      <w:r>
        <w:rPr>
          <w:b/>
        </w:rPr>
        <w:t>PROCEDURAL SCHEDULE</w:t>
      </w:r>
    </w:p>
    <w:p w14:paraId="74BF8B33" w14:textId="5D70E5A7" w:rsidR="00BA5F24" w:rsidRDefault="00BA5F24" w:rsidP="00BA5F24">
      <w:pPr>
        <w:pStyle w:val="ListParagraph"/>
        <w:spacing w:line="360" w:lineRule="auto"/>
        <w:ind w:left="0" w:firstLine="720"/>
      </w:pPr>
      <w:r w:rsidRPr="009F3A2D">
        <w:t xml:space="preserve">In accordance with Staff’s administrative completeness recommendation, Staff proposes </w:t>
      </w:r>
      <w:r w:rsidR="007F4DC0">
        <w:t>the following procedural schedule.</w:t>
      </w:r>
      <w:r w:rsidRPr="009F3A2D">
        <w:t xml:space="preserve"> Under </w:t>
      </w:r>
      <w:r>
        <w:t>TWC</w:t>
      </w:r>
      <w:r w:rsidRPr="009F3A2D">
        <w:t xml:space="preserve"> § 13.2</w:t>
      </w:r>
      <w:r w:rsidR="007F4DC0">
        <w:t>45</w:t>
      </w:r>
      <w:r w:rsidRPr="009F3A2D">
        <w:t>(</w:t>
      </w:r>
      <w:r w:rsidR="007F4DC0">
        <w:t>h</w:t>
      </w:r>
      <w:r w:rsidR="00374B50">
        <w:t>)(</w:t>
      </w:r>
      <w:r w:rsidR="007F4DC0">
        <w:t>7</w:t>
      </w:r>
      <w:r w:rsidRPr="009F3A2D">
        <w:t xml:space="preserve">), there is an expedited statutory deadline of 60 days for approval that begins once the </w:t>
      </w:r>
      <w:r w:rsidR="00534F34">
        <w:t>a</w:t>
      </w:r>
      <w:r w:rsidRPr="009F3A2D">
        <w:t xml:space="preserve">dministrative </w:t>
      </w:r>
      <w:r w:rsidR="00534F34">
        <w:t>l</w:t>
      </w:r>
      <w:r w:rsidRPr="009F3A2D">
        <w:t xml:space="preserve">aw </w:t>
      </w:r>
      <w:r w:rsidR="00534F34">
        <w:t>j</w:t>
      </w:r>
      <w:r w:rsidRPr="009F3A2D">
        <w:t xml:space="preserve">udge (ALJ) </w:t>
      </w:r>
      <w:r w:rsidR="00374B50">
        <w:t xml:space="preserve">finds the petition </w:t>
      </w:r>
      <w:r w:rsidRPr="009F3A2D">
        <w:t xml:space="preserve">administratively complete. Therefore, Staff </w:t>
      </w:r>
      <w:r w:rsidR="0075312E">
        <w:t>proposes the following procedural schedule</w:t>
      </w:r>
      <w:r w:rsidRPr="009F3A2D">
        <w:t>.</w:t>
      </w:r>
    </w:p>
    <w:p w14:paraId="734C0A2D" w14:textId="0C6A59E0" w:rsidR="00BA5F24" w:rsidRDefault="00BA5F24" w:rsidP="00BA5F24">
      <w:pPr>
        <w:jc w:val="left"/>
      </w:pP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805"/>
      </w:tblGrid>
      <w:tr w:rsidR="00FF200D" w:rsidRPr="008E30E4" w14:paraId="06C2E462" w14:textId="77777777" w:rsidTr="00612ABA">
        <w:trPr>
          <w:trHeight w:val="440"/>
        </w:trPr>
        <w:tc>
          <w:tcPr>
            <w:tcW w:w="6655" w:type="dxa"/>
            <w:tcMar>
              <w:top w:w="0" w:type="dxa"/>
              <w:left w:w="108" w:type="dxa"/>
              <w:bottom w:w="0" w:type="dxa"/>
              <w:right w:w="108" w:type="dxa"/>
            </w:tcMar>
            <w:vAlign w:val="bottom"/>
            <w:hideMark/>
          </w:tcPr>
          <w:p w14:paraId="049682DF" w14:textId="77777777" w:rsidR="00FF200D" w:rsidRPr="00EC08F3" w:rsidRDefault="00FF200D" w:rsidP="00612ABA">
            <w:pPr>
              <w:spacing w:line="276" w:lineRule="auto"/>
              <w:contextualSpacing/>
              <w:jc w:val="center"/>
              <w:rPr>
                <w:rFonts w:eastAsia="Calibri"/>
                <w:b/>
                <w:szCs w:val="24"/>
              </w:rPr>
            </w:pPr>
            <w:r w:rsidRPr="00EC08F3">
              <w:rPr>
                <w:rFonts w:eastAsia="Calibri"/>
                <w:b/>
                <w:szCs w:val="24"/>
              </w:rPr>
              <w:t>Event</w:t>
            </w:r>
          </w:p>
        </w:tc>
        <w:tc>
          <w:tcPr>
            <w:tcW w:w="2805" w:type="dxa"/>
            <w:tcMar>
              <w:top w:w="0" w:type="dxa"/>
              <w:left w:w="108" w:type="dxa"/>
              <w:bottom w:w="0" w:type="dxa"/>
              <w:right w:w="108" w:type="dxa"/>
            </w:tcMar>
            <w:vAlign w:val="bottom"/>
            <w:hideMark/>
          </w:tcPr>
          <w:p w14:paraId="1D27465B" w14:textId="77777777" w:rsidR="00FF200D" w:rsidRPr="00EC08F3" w:rsidRDefault="00FF200D" w:rsidP="00612ABA">
            <w:pPr>
              <w:contextualSpacing/>
              <w:jc w:val="center"/>
              <w:rPr>
                <w:rFonts w:eastAsia="Calibri"/>
                <w:b/>
                <w:szCs w:val="24"/>
              </w:rPr>
            </w:pPr>
            <w:r w:rsidRPr="00EC08F3">
              <w:rPr>
                <w:rFonts w:eastAsia="Calibri"/>
                <w:b/>
                <w:szCs w:val="24"/>
              </w:rPr>
              <w:t>Date</w:t>
            </w:r>
          </w:p>
        </w:tc>
      </w:tr>
      <w:tr w:rsidR="00FF200D" w:rsidRPr="008E30E4" w14:paraId="0422409B" w14:textId="77777777" w:rsidTr="00612ABA">
        <w:trPr>
          <w:trHeight w:val="440"/>
        </w:trPr>
        <w:tc>
          <w:tcPr>
            <w:tcW w:w="6655" w:type="dxa"/>
            <w:tcMar>
              <w:top w:w="0" w:type="dxa"/>
              <w:left w:w="108" w:type="dxa"/>
              <w:bottom w:w="0" w:type="dxa"/>
              <w:right w:w="108" w:type="dxa"/>
            </w:tcMar>
            <w:vAlign w:val="center"/>
          </w:tcPr>
          <w:p w14:paraId="7DC03679" w14:textId="4F2732B3" w:rsidR="00FF200D" w:rsidRPr="006912D5" w:rsidRDefault="00FF200D" w:rsidP="00612ABA">
            <w:pPr>
              <w:contextualSpacing/>
              <w:jc w:val="left"/>
              <w:rPr>
                <w:rFonts w:eastAsia="Calibri"/>
                <w:szCs w:val="24"/>
              </w:rPr>
            </w:pPr>
            <w:r w:rsidRPr="006912D5">
              <w:rPr>
                <w:rFonts w:eastAsia="Calibri"/>
                <w:szCs w:val="24"/>
              </w:rPr>
              <w:t>Deadline for</w:t>
            </w:r>
            <w:r>
              <w:t xml:space="preserve"> </w:t>
            </w:r>
            <w:r w:rsidRPr="006912D5">
              <w:rPr>
                <w:rFonts w:eastAsia="Calibri"/>
                <w:szCs w:val="24"/>
              </w:rPr>
              <w:t>response</w:t>
            </w:r>
            <w:r>
              <w:rPr>
                <w:rFonts w:eastAsia="Calibri"/>
                <w:szCs w:val="24"/>
              </w:rPr>
              <w:t>s</w:t>
            </w:r>
            <w:r w:rsidRPr="006912D5">
              <w:rPr>
                <w:rFonts w:eastAsia="Calibri"/>
                <w:szCs w:val="24"/>
              </w:rPr>
              <w:t xml:space="preserve"> to the administratively complete </w:t>
            </w:r>
            <w:r w:rsidR="00FB3F65">
              <w:rPr>
                <w:rFonts w:eastAsia="Calibri"/>
                <w:szCs w:val="24"/>
              </w:rPr>
              <w:t>p</w:t>
            </w:r>
            <w:r w:rsidRPr="006912D5">
              <w:rPr>
                <w:rFonts w:eastAsia="Calibri"/>
                <w:szCs w:val="24"/>
              </w:rPr>
              <w:t>etition</w:t>
            </w:r>
          </w:p>
        </w:tc>
        <w:tc>
          <w:tcPr>
            <w:tcW w:w="2805" w:type="dxa"/>
            <w:tcMar>
              <w:top w:w="0" w:type="dxa"/>
              <w:left w:w="108" w:type="dxa"/>
              <w:bottom w:w="0" w:type="dxa"/>
              <w:right w:w="108" w:type="dxa"/>
            </w:tcMar>
            <w:vAlign w:val="center"/>
          </w:tcPr>
          <w:p w14:paraId="51F6CCF9" w14:textId="2DD0E09C" w:rsidR="00FF200D" w:rsidRPr="006912D5" w:rsidRDefault="00C535DC" w:rsidP="00612ABA">
            <w:pPr>
              <w:contextualSpacing/>
              <w:jc w:val="center"/>
              <w:rPr>
                <w:rFonts w:eastAsia="Calibri"/>
                <w:szCs w:val="24"/>
              </w:rPr>
            </w:pPr>
            <w:r>
              <w:rPr>
                <w:rFonts w:eastAsia="Calibri"/>
                <w:szCs w:val="24"/>
              </w:rPr>
              <w:t>February 1</w:t>
            </w:r>
            <w:r w:rsidR="0075312E">
              <w:rPr>
                <w:rFonts w:eastAsia="Calibri"/>
                <w:szCs w:val="24"/>
              </w:rPr>
              <w:t>9</w:t>
            </w:r>
            <w:r w:rsidR="00FF200D">
              <w:rPr>
                <w:rFonts w:eastAsia="Calibri"/>
                <w:szCs w:val="24"/>
              </w:rPr>
              <w:t>, 202</w:t>
            </w:r>
            <w:r>
              <w:rPr>
                <w:rFonts w:eastAsia="Calibri"/>
                <w:szCs w:val="24"/>
              </w:rPr>
              <w:t>1</w:t>
            </w:r>
          </w:p>
        </w:tc>
      </w:tr>
      <w:tr w:rsidR="00FF200D" w:rsidRPr="008E30E4" w14:paraId="37C02BAD" w14:textId="77777777" w:rsidTr="00612ABA">
        <w:trPr>
          <w:trHeight w:val="351"/>
        </w:trPr>
        <w:tc>
          <w:tcPr>
            <w:tcW w:w="6655" w:type="dxa"/>
            <w:tcMar>
              <w:top w:w="0" w:type="dxa"/>
              <w:left w:w="108" w:type="dxa"/>
              <w:bottom w:w="0" w:type="dxa"/>
              <w:right w:w="108" w:type="dxa"/>
            </w:tcMar>
            <w:vAlign w:val="center"/>
            <w:hideMark/>
          </w:tcPr>
          <w:p w14:paraId="31152D1C" w14:textId="77777777" w:rsidR="00FF200D" w:rsidRPr="006912D5" w:rsidRDefault="00FF200D" w:rsidP="00612ABA">
            <w:pPr>
              <w:spacing w:line="276" w:lineRule="auto"/>
              <w:contextualSpacing/>
              <w:jc w:val="left"/>
              <w:rPr>
                <w:rFonts w:eastAsia="Calibri"/>
                <w:szCs w:val="24"/>
              </w:rPr>
            </w:pPr>
            <w:r w:rsidRPr="006912D5">
              <w:rPr>
                <w:rFonts w:eastAsia="Calibri"/>
                <w:szCs w:val="24"/>
              </w:rPr>
              <w:t xml:space="preserve">Deadline for Commission Staff’s recommendation on final disposition </w:t>
            </w:r>
          </w:p>
        </w:tc>
        <w:tc>
          <w:tcPr>
            <w:tcW w:w="2805" w:type="dxa"/>
            <w:tcMar>
              <w:top w:w="0" w:type="dxa"/>
              <w:left w:w="108" w:type="dxa"/>
              <w:bottom w:w="0" w:type="dxa"/>
              <w:right w:w="108" w:type="dxa"/>
            </w:tcMar>
            <w:vAlign w:val="center"/>
            <w:hideMark/>
          </w:tcPr>
          <w:p w14:paraId="14706ADC" w14:textId="22D2ECF8" w:rsidR="00FF200D" w:rsidRPr="006912D5" w:rsidRDefault="00A435C2" w:rsidP="00612ABA">
            <w:pPr>
              <w:contextualSpacing/>
              <w:jc w:val="center"/>
              <w:rPr>
                <w:rFonts w:eastAsia="Calibri"/>
                <w:szCs w:val="24"/>
              </w:rPr>
            </w:pPr>
            <w:r>
              <w:rPr>
                <w:rFonts w:eastAsia="Calibri"/>
                <w:szCs w:val="24"/>
              </w:rPr>
              <w:t xml:space="preserve">March </w:t>
            </w:r>
            <w:r w:rsidR="00D21656">
              <w:rPr>
                <w:rFonts w:eastAsia="Calibri"/>
                <w:szCs w:val="24"/>
              </w:rPr>
              <w:t>5</w:t>
            </w:r>
            <w:r w:rsidR="00FF200D">
              <w:rPr>
                <w:rFonts w:eastAsia="Calibri"/>
                <w:szCs w:val="24"/>
              </w:rPr>
              <w:t>, 202</w:t>
            </w:r>
            <w:r>
              <w:rPr>
                <w:rFonts w:eastAsia="Calibri"/>
                <w:szCs w:val="24"/>
              </w:rPr>
              <w:t>1</w:t>
            </w:r>
          </w:p>
        </w:tc>
      </w:tr>
      <w:tr w:rsidR="00FF200D" w:rsidRPr="008E30E4" w14:paraId="779C99ED" w14:textId="77777777" w:rsidTr="00612ABA">
        <w:trPr>
          <w:trHeight w:val="540"/>
        </w:trPr>
        <w:tc>
          <w:tcPr>
            <w:tcW w:w="6655" w:type="dxa"/>
            <w:tcMar>
              <w:top w:w="0" w:type="dxa"/>
              <w:left w:w="108" w:type="dxa"/>
              <w:bottom w:w="0" w:type="dxa"/>
              <w:right w:w="108" w:type="dxa"/>
            </w:tcMar>
            <w:vAlign w:val="center"/>
          </w:tcPr>
          <w:p w14:paraId="625856B3" w14:textId="4ADEB3C8" w:rsidR="00FF200D" w:rsidRPr="004136A6" w:rsidRDefault="00FF200D" w:rsidP="00612ABA">
            <w:pPr>
              <w:jc w:val="left"/>
              <w:rPr>
                <w:rFonts w:eastAsiaTheme="minorHAnsi"/>
                <w:szCs w:val="24"/>
              </w:rPr>
            </w:pPr>
            <w:r w:rsidRPr="006912D5">
              <w:rPr>
                <w:rFonts w:eastAsia="Calibri"/>
                <w:szCs w:val="24"/>
              </w:rPr>
              <w:t xml:space="preserve">Deadline for </w:t>
            </w:r>
            <w:r w:rsidR="00C535DC">
              <w:t>MSEC</w:t>
            </w:r>
            <w:r w:rsidRPr="006912D5">
              <w:rPr>
                <w:rFonts w:eastAsia="Calibri"/>
                <w:szCs w:val="24"/>
              </w:rPr>
              <w:t xml:space="preserve"> to file a reply </w:t>
            </w:r>
            <w:r>
              <w:rPr>
                <w:rFonts w:eastAsia="Calibri"/>
                <w:szCs w:val="24"/>
              </w:rPr>
              <w:t xml:space="preserve">to both </w:t>
            </w:r>
            <w:proofErr w:type="spellStart"/>
            <w:r w:rsidR="00C535DC">
              <w:rPr>
                <w:rFonts w:eastAsia="Calibri"/>
                <w:szCs w:val="24"/>
              </w:rPr>
              <w:t>Trendmaker</w:t>
            </w:r>
            <w:r>
              <w:t>’s</w:t>
            </w:r>
            <w:proofErr w:type="spellEnd"/>
            <w:r>
              <w:rPr>
                <w:rFonts w:eastAsia="Calibri"/>
                <w:szCs w:val="24"/>
              </w:rPr>
              <w:t xml:space="preserve"> response and </w:t>
            </w:r>
            <w:r w:rsidRPr="006912D5">
              <w:rPr>
                <w:rFonts w:eastAsia="Calibri"/>
                <w:szCs w:val="24"/>
              </w:rPr>
              <w:t>Commission Staff’s recommendation on final disposition</w:t>
            </w:r>
            <w:r>
              <w:rPr>
                <w:rStyle w:val="FootnoteReference"/>
              </w:rPr>
              <w:footnoteReference w:id="1"/>
            </w:r>
            <w:r>
              <w:rPr>
                <w:rFonts w:eastAsiaTheme="minorHAnsi"/>
                <w:szCs w:val="24"/>
              </w:rPr>
              <w:t xml:space="preserve"> </w:t>
            </w:r>
          </w:p>
        </w:tc>
        <w:tc>
          <w:tcPr>
            <w:tcW w:w="2805" w:type="dxa"/>
            <w:tcMar>
              <w:top w:w="0" w:type="dxa"/>
              <w:left w:w="108" w:type="dxa"/>
              <w:bottom w:w="0" w:type="dxa"/>
              <w:right w:w="108" w:type="dxa"/>
            </w:tcMar>
            <w:vAlign w:val="center"/>
          </w:tcPr>
          <w:p w14:paraId="7202FC79" w14:textId="07B85332" w:rsidR="00FF200D" w:rsidRPr="006912D5" w:rsidRDefault="00A435C2" w:rsidP="00612ABA">
            <w:pPr>
              <w:contextualSpacing/>
              <w:jc w:val="center"/>
              <w:rPr>
                <w:rFonts w:eastAsia="Calibri"/>
                <w:szCs w:val="24"/>
              </w:rPr>
            </w:pPr>
            <w:r>
              <w:rPr>
                <w:rFonts w:eastAsia="Calibri"/>
                <w:szCs w:val="24"/>
              </w:rPr>
              <w:t xml:space="preserve">March </w:t>
            </w:r>
            <w:r w:rsidR="00D21656">
              <w:rPr>
                <w:rFonts w:eastAsia="Calibri"/>
                <w:szCs w:val="24"/>
              </w:rPr>
              <w:t>12</w:t>
            </w:r>
            <w:r>
              <w:rPr>
                <w:rFonts w:eastAsia="Calibri"/>
                <w:szCs w:val="24"/>
              </w:rPr>
              <w:t>, 2021</w:t>
            </w:r>
          </w:p>
        </w:tc>
      </w:tr>
    </w:tbl>
    <w:p w14:paraId="6706A28A" w14:textId="77777777" w:rsidR="00FF200D" w:rsidRPr="009F3A2D" w:rsidRDefault="00FF200D" w:rsidP="00BA5F24">
      <w:pPr>
        <w:jc w:val="left"/>
      </w:pPr>
    </w:p>
    <w:p w14:paraId="4AFD2F12" w14:textId="77777777" w:rsidR="00BA5F24" w:rsidRDefault="00BA5F24" w:rsidP="00BA5F24">
      <w:pPr>
        <w:jc w:val="left"/>
        <w:rPr>
          <w:b/>
        </w:rPr>
      </w:pPr>
    </w:p>
    <w:p w14:paraId="1AC42C66" w14:textId="77777777" w:rsidR="00BA5F24" w:rsidRDefault="00BA5F24" w:rsidP="00BA5F24">
      <w:pPr>
        <w:pStyle w:val="ListParagraph"/>
        <w:numPr>
          <w:ilvl w:val="0"/>
          <w:numId w:val="10"/>
        </w:numPr>
        <w:spacing w:line="360" w:lineRule="auto"/>
        <w:jc w:val="center"/>
        <w:rPr>
          <w:b/>
        </w:rPr>
      </w:pPr>
      <w:r>
        <w:rPr>
          <w:b/>
        </w:rPr>
        <w:t>CONCLUSION</w:t>
      </w:r>
    </w:p>
    <w:p w14:paraId="72E7F96D" w14:textId="4640BFDC" w:rsidR="00BA5F24" w:rsidRDefault="00BA5F24" w:rsidP="00BA5F24">
      <w:pPr>
        <w:spacing w:line="360" w:lineRule="auto"/>
        <w:ind w:firstLine="720"/>
      </w:pPr>
      <w:r>
        <w:t>For the reasons detailed above, Staff respectfully requests that an order be issued find</w:t>
      </w:r>
      <w:r w:rsidR="0075312E">
        <w:t>ing</w:t>
      </w:r>
      <w:r>
        <w:t xml:space="preserve"> </w:t>
      </w:r>
      <w:proofErr w:type="spellStart"/>
      <w:r w:rsidR="00C535DC">
        <w:t>Trendmaker</w:t>
      </w:r>
      <w:r w:rsidR="00C62386">
        <w:t>’</w:t>
      </w:r>
      <w:r>
        <w:t>s</w:t>
      </w:r>
      <w:proofErr w:type="spellEnd"/>
      <w:r>
        <w:t xml:space="preserve"> </w:t>
      </w:r>
      <w:r w:rsidR="0075312E">
        <w:t>peti</w:t>
      </w:r>
      <w:r>
        <w:t>tion to be administratively complete and its notice sufficient and adopt</w:t>
      </w:r>
      <w:r w:rsidR="0075312E">
        <w:t>ing</w:t>
      </w:r>
      <w:r>
        <w:t xml:space="preserve"> the proposed procedural schedule.</w:t>
      </w:r>
    </w:p>
    <w:p w14:paraId="4858C987" w14:textId="77777777" w:rsidR="00CA2362" w:rsidRDefault="00CA2362">
      <w:pPr>
        <w:jc w:val="left"/>
        <w:rPr>
          <w:b/>
          <w:bCs/>
          <w:szCs w:val="24"/>
        </w:rPr>
      </w:pPr>
    </w:p>
    <w:p w14:paraId="204A32C0" w14:textId="77777777" w:rsidR="007C5D57" w:rsidRDefault="007C5D57" w:rsidP="00180924">
      <w:pPr>
        <w:spacing w:line="360" w:lineRule="auto"/>
        <w:rPr>
          <w:bCs/>
          <w:szCs w:val="24"/>
        </w:rPr>
      </w:pPr>
    </w:p>
    <w:p w14:paraId="40AFBA10" w14:textId="41938D25" w:rsidR="00534F34" w:rsidRPr="007C5B4F" w:rsidRDefault="00534F34" w:rsidP="00534F34">
      <w:pPr>
        <w:keepNext/>
        <w:rPr>
          <w:szCs w:val="24"/>
        </w:rPr>
      </w:pPr>
      <w:bookmarkStart w:id="0" w:name="_Hlk37688212"/>
      <w:bookmarkStart w:id="1" w:name="_Hlk37069946"/>
      <w:r w:rsidRPr="00534F34">
        <w:rPr>
          <w:szCs w:val="24"/>
        </w:rPr>
        <w:lastRenderedPageBreak/>
        <w:t xml:space="preserve"> </w:t>
      </w:r>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CC08E9">
        <w:rPr>
          <w:noProof/>
          <w:szCs w:val="24"/>
        </w:rPr>
        <w:t>February 4, 2021</w:t>
      </w:r>
      <w:r w:rsidRPr="007C5B4F">
        <w:rPr>
          <w:szCs w:val="24"/>
        </w:rPr>
        <w:fldChar w:fldCharType="end"/>
      </w:r>
    </w:p>
    <w:bookmarkEnd w:id="0"/>
    <w:p w14:paraId="3081C2BE" w14:textId="77777777" w:rsidR="00534F34" w:rsidRPr="007C5B4F" w:rsidRDefault="00534F34" w:rsidP="00534F34">
      <w:pPr>
        <w:keepNext/>
        <w:rPr>
          <w:szCs w:val="24"/>
        </w:rPr>
      </w:pPr>
    </w:p>
    <w:p w14:paraId="7D18BF12" w14:textId="77777777" w:rsidR="00534F34" w:rsidRDefault="00534F34" w:rsidP="00534F34">
      <w:pPr>
        <w:pStyle w:val="Normaldouble"/>
        <w:keepNext/>
        <w:spacing w:line="240" w:lineRule="auto"/>
        <w:ind w:left="3600" w:firstLine="720"/>
        <w:rPr>
          <w:szCs w:val="24"/>
        </w:rPr>
      </w:pPr>
      <w:r w:rsidRPr="007C5B4F">
        <w:rPr>
          <w:szCs w:val="24"/>
        </w:rPr>
        <w:t>Respectfully submitted,</w:t>
      </w:r>
    </w:p>
    <w:p w14:paraId="396723C1" w14:textId="77777777" w:rsidR="00534F34" w:rsidRPr="007C5B4F" w:rsidRDefault="00534F34" w:rsidP="00534F34">
      <w:pPr>
        <w:pStyle w:val="Normaldouble"/>
        <w:keepNext/>
        <w:spacing w:line="240" w:lineRule="auto"/>
        <w:ind w:left="3600" w:firstLine="720"/>
        <w:rPr>
          <w:szCs w:val="24"/>
        </w:rPr>
      </w:pPr>
    </w:p>
    <w:p w14:paraId="44D373A9" w14:textId="77777777" w:rsidR="00534F34" w:rsidRPr="007C5B4F" w:rsidRDefault="00534F34" w:rsidP="00534F34">
      <w:pPr>
        <w:pStyle w:val="Normaldouble"/>
        <w:keepNext/>
        <w:spacing w:line="240" w:lineRule="auto"/>
        <w:ind w:left="3600" w:firstLine="720"/>
        <w:rPr>
          <w:b/>
          <w:szCs w:val="24"/>
        </w:rPr>
      </w:pPr>
      <w:r w:rsidRPr="007C5B4F">
        <w:rPr>
          <w:b/>
          <w:szCs w:val="24"/>
        </w:rPr>
        <w:t>PUBLIC UTILITY COMMISSION OF TEXAS</w:t>
      </w:r>
    </w:p>
    <w:p w14:paraId="7F08FE58" w14:textId="77777777" w:rsidR="00534F34" w:rsidRPr="007C5B4F" w:rsidRDefault="00534F34" w:rsidP="00534F34">
      <w:pPr>
        <w:pStyle w:val="Normaldouble"/>
        <w:keepNext/>
        <w:spacing w:line="240" w:lineRule="auto"/>
        <w:ind w:left="3600" w:firstLine="720"/>
        <w:rPr>
          <w:b/>
          <w:szCs w:val="24"/>
        </w:rPr>
      </w:pPr>
      <w:r w:rsidRPr="007C5B4F">
        <w:rPr>
          <w:b/>
          <w:szCs w:val="24"/>
        </w:rPr>
        <w:t>LEGAL DIVISION</w:t>
      </w:r>
    </w:p>
    <w:p w14:paraId="17128203" w14:textId="77777777" w:rsidR="00534F34" w:rsidRPr="007C5B4F" w:rsidRDefault="00534F34" w:rsidP="00534F34">
      <w:pPr>
        <w:pStyle w:val="Normaldouble"/>
        <w:keepNext/>
        <w:spacing w:line="240" w:lineRule="auto"/>
        <w:ind w:left="3600" w:firstLine="720"/>
        <w:rPr>
          <w:b/>
          <w:szCs w:val="24"/>
        </w:rPr>
      </w:pPr>
    </w:p>
    <w:p w14:paraId="3C12734C"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Rachelle Nicolette Robles</w:t>
      </w:r>
    </w:p>
    <w:p w14:paraId="2ADE0C05" w14:textId="77777777" w:rsidR="00534F34" w:rsidRDefault="00534F34" w:rsidP="00534F34">
      <w:pPr>
        <w:keepNext/>
        <w:ind w:firstLine="4320"/>
        <w:jc w:val="left"/>
        <w:rPr>
          <w:szCs w:val="24"/>
        </w:rPr>
      </w:pPr>
      <w:r w:rsidRPr="007C5B4F">
        <w:rPr>
          <w:szCs w:val="24"/>
        </w:rPr>
        <w:t xml:space="preserve">Division Director </w:t>
      </w:r>
    </w:p>
    <w:p w14:paraId="237FD464" w14:textId="77777777" w:rsidR="00534F34" w:rsidRDefault="00534F34" w:rsidP="00534F34">
      <w:pPr>
        <w:keepNext/>
        <w:ind w:firstLine="4320"/>
        <w:jc w:val="left"/>
        <w:rPr>
          <w:szCs w:val="24"/>
        </w:rPr>
      </w:pPr>
    </w:p>
    <w:p w14:paraId="7A03B91F" w14:textId="77777777" w:rsidR="00534F34" w:rsidRDefault="00534F34" w:rsidP="00534F34">
      <w:pPr>
        <w:keepNext/>
        <w:ind w:firstLine="4320"/>
        <w:jc w:val="left"/>
        <w:rPr>
          <w:szCs w:val="24"/>
        </w:rPr>
      </w:pPr>
      <w:r>
        <w:rPr>
          <w:szCs w:val="24"/>
        </w:rPr>
        <w:t>Eleanor D’Ambrosio</w:t>
      </w:r>
    </w:p>
    <w:p w14:paraId="7BE1CE53" w14:textId="77777777" w:rsidR="00534F34" w:rsidRPr="007C5B4F" w:rsidRDefault="00534F34" w:rsidP="00534F34">
      <w:pPr>
        <w:keepNext/>
        <w:ind w:firstLine="4320"/>
        <w:jc w:val="left"/>
        <w:rPr>
          <w:szCs w:val="24"/>
        </w:rPr>
      </w:pPr>
      <w:r>
        <w:rPr>
          <w:szCs w:val="24"/>
        </w:rPr>
        <w:t>Managing Attorney</w:t>
      </w:r>
    </w:p>
    <w:p w14:paraId="20B52DEE" w14:textId="77777777" w:rsidR="00534F34" w:rsidRPr="007C5B4F" w:rsidRDefault="00534F34" w:rsidP="00534F34">
      <w:pPr>
        <w:keepNext/>
        <w:ind w:firstLine="4320"/>
        <w:jc w:val="left"/>
        <w:rPr>
          <w:szCs w:val="24"/>
        </w:rPr>
      </w:pPr>
    </w:p>
    <w:p w14:paraId="61AFCCF7" w14:textId="77777777" w:rsidR="00534F34" w:rsidRPr="007C5B4F" w:rsidRDefault="00534F34" w:rsidP="00534F34">
      <w:pPr>
        <w:keepNext/>
        <w:overflowPunct w:val="0"/>
        <w:autoSpaceDE w:val="0"/>
        <w:autoSpaceDN w:val="0"/>
        <w:adjustRightInd w:val="0"/>
        <w:ind w:left="4320"/>
        <w:jc w:val="left"/>
        <w:textAlignment w:val="baseline"/>
        <w:rPr>
          <w:szCs w:val="24"/>
        </w:rPr>
      </w:pPr>
    </w:p>
    <w:p w14:paraId="305700D7"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14C7FB2B"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Merritt Lander</w:t>
      </w:r>
    </w:p>
    <w:p w14:paraId="56FB69E6"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State Bar No. 24106183</w:t>
      </w:r>
    </w:p>
    <w:p w14:paraId="061A8F20"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1701 N. Congress Avenue</w:t>
      </w:r>
    </w:p>
    <w:p w14:paraId="43F167B0"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P.O. Box 13326</w:t>
      </w:r>
    </w:p>
    <w:p w14:paraId="1F239319"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Austin, Texas 78711-3326</w:t>
      </w:r>
    </w:p>
    <w:p w14:paraId="32CED67D"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(512) 936-7290</w:t>
      </w:r>
    </w:p>
    <w:p w14:paraId="440739EC"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(512) 936-7268 (facsimile)</w:t>
      </w:r>
    </w:p>
    <w:p w14:paraId="6445FBA2" w14:textId="77777777" w:rsidR="00534F34" w:rsidRPr="007C5B4F" w:rsidRDefault="00534F34" w:rsidP="00534F34">
      <w:pPr>
        <w:keepNext/>
        <w:overflowPunct w:val="0"/>
        <w:autoSpaceDE w:val="0"/>
        <w:autoSpaceDN w:val="0"/>
        <w:adjustRightInd w:val="0"/>
        <w:ind w:left="4320"/>
        <w:jc w:val="left"/>
        <w:textAlignment w:val="baseline"/>
        <w:rPr>
          <w:szCs w:val="24"/>
        </w:rPr>
      </w:pPr>
      <w:r w:rsidRPr="007C5B4F">
        <w:rPr>
          <w:szCs w:val="24"/>
        </w:rPr>
        <w:t>Merritt.Lander@puc.texas.gov</w:t>
      </w:r>
    </w:p>
    <w:bookmarkEnd w:id="1"/>
    <w:p w14:paraId="21B55146" w14:textId="6442B165" w:rsidR="00675E73" w:rsidRDefault="00675E73" w:rsidP="00534F34">
      <w:pPr>
        <w:jc w:val="left"/>
        <w:rPr>
          <w:b/>
          <w:bCs/>
          <w:szCs w:val="24"/>
        </w:rPr>
      </w:pPr>
    </w:p>
    <w:p w14:paraId="2C43A123" w14:textId="2C787403" w:rsidR="00675E73" w:rsidRDefault="00675E73" w:rsidP="00675E73">
      <w:pPr>
        <w:pStyle w:val="Docketnumber"/>
        <w:rPr>
          <w:sz w:val="24"/>
          <w:szCs w:val="24"/>
        </w:rPr>
      </w:pPr>
      <w:r>
        <w:rPr>
          <w:sz w:val="24"/>
          <w:szCs w:val="24"/>
        </w:rPr>
        <w:t xml:space="preserve">DOCKET NO. </w:t>
      </w:r>
      <w:r w:rsidR="00E80B94">
        <w:rPr>
          <w:sz w:val="24"/>
          <w:szCs w:val="24"/>
        </w:rPr>
        <w:t>51698</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4A7BF469" w14:textId="6F59D98E" w:rsidR="009C4BA2" w:rsidRPr="00C7046C" w:rsidRDefault="009C4BA2" w:rsidP="009C4BA2">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CC08E9">
        <w:rPr>
          <w:noProof/>
          <w:szCs w:val="24"/>
        </w:rPr>
        <w:t>February 4,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105C4886" w14:textId="77777777" w:rsidR="009C4BA2" w:rsidRDefault="009C4BA2" w:rsidP="009C4BA2">
      <w:pPr>
        <w:keepNext/>
        <w:ind w:firstLine="720"/>
        <w:rPr>
          <w:szCs w:val="24"/>
        </w:rPr>
      </w:pPr>
    </w:p>
    <w:p w14:paraId="3F56F121" w14:textId="77777777" w:rsidR="009C4BA2" w:rsidRPr="007C5B4F" w:rsidRDefault="009C4BA2" w:rsidP="009C4BA2">
      <w:pPr>
        <w:keepNext/>
        <w:ind w:firstLine="720"/>
        <w:rPr>
          <w:szCs w:val="24"/>
        </w:rPr>
      </w:pPr>
    </w:p>
    <w:p w14:paraId="056D5E87" w14:textId="77777777" w:rsidR="009C4BA2" w:rsidRPr="007C5B4F" w:rsidRDefault="009C4BA2" w:rsidP="009C4BA2">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4FD004DC" w14:textId="77777777" w:rsidR="009C4BA2" w:rsidRPr="007C5B4F" w:rsidRDefault="009C4BA2" w:rsidP="009C4BA2">
      <w:pPr>
        <w:overflowPunct w:val="0"/>
        <w:autoSpaceDE w:val="0"/>
        <w:autoSpaceDN w:val="0"/>
        <w:adjustRightInd w:val="0"/>
        <w:ind w:left="4320"/>
        <w:jc w:val="left"/>
        <w:textAlignment w:val="baseline"/>
        <w:rPr>
          <w:szCs w:val="24"/>
        </w:rPr>
      </w:pPr>
      <w:r w:rsidRPr="007C5B4F">
        <w:rPr>
          <w:szCs w:val="24"/>
        </w:rPr>
        <w:t>Merritt Lander</w:t>
      </w:r>
    </w:p>
    <w:p w14:paraId="4BB2EE05" w14:textId="2E3C3C54" w:rsidR="0038776A" w:rsidRPr="00C524BE" w:rsidRDefault="0038776A" w:rsidP="00C524BE">
      <w:pPr>
        <w:pStyle w:val="Normaldouble"/>
        <w:spacing w:line="240" w:lineRule="auto"/>
      </w:pPr>
    </w:p>
    <w:sectPr w:rsidR="0038776A" w:rsidRPr="00C524BE"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E9DB4" w14:textId="77777777" w:rsidR="003A792C" w:rsidRDefault="003A792C">
      <w:r>
        <w:separator/>
      </w:r>
    </w:p>
  </w:endnote>
  <w:endnote w:type="continuationSeparator" w:id="0">
    <w:p w14:paraId="04AD3E47" w14:textId="77777777" w:rsidR="003A792C" w:rsidRDefault="003A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EFBE0" w14:textId="77777777" w:rsidR="003A792C" w:rsidRDefault="003A792C">
      <w:r>
        <w:separator/>
      </w:r>
    </w:p>
  </w:footnote>
  <w:footnote w:type="continuationSeparator" w:id="0">
    <w:p w14:paraId="2430463D" w14:textId="77777777" w:rsidR="003A792C" w:rsidRDefault="003A792C">
      <w:r>
        <w:continuationSeparator/>
      </w:r>
    </w:p>
  </w:footnote>
  <w:footnote w:id="1">
    <w:p w14:paraId="4DCA0F8F" w14:textId="44AEBA78" w:rsidR="00FF200D" w:rsidRDefault="00FF200D" w:rsidP="00CC08E9">
      <w:pPr>
        <w:pStyle w:val="FootnoteText"/>
        <w:spacing w:after="120"/>
        <w:ind w:firstLine="720"/>
      </w:pPr>
      <w:r>
        <w:rPr>
          <w:rStyle w:val="FootnoteReference"/>
        </w:rPr>
        <w:footnoteRef/>
      </w:r>
      <w:r w:rsidR="00D8385A">
        <w:t xml:space="preserve"> </w:t>
      </w:r>
      <w:r>
        <w:t xml:space="preserve"> Staff notes that such a reply must be limited to briefing and argument. Submission of any additional proof will be deemed a new petition.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BE3D2CA" w14:textId="77777777" w:rsidR="009C4BA2" w:rsidRPr="00CC08E9" w:rsidRDefault="009C4BA2">
        <w:pPr>
          <w:pStyle w:val="Header"/>
          <w:jc w:val="right"/>
          <w:rPr>
            <w:b/>
            <w:bCs/>
            <w:sz w:val="20"/>
          </w:rPr>
        </w:pPr>
        <w:r w:rsidRPr="00CC08E9">
          <w:rPr>
            <w:b/>
            <w:bCs/>
            <w:sz w:val="20"/>
          </w:rPr>
          <w:t xml:space="preserve">Page </w:t>
        </w:r>
        <w:r w:rsidRPr="00CC08E9">
          <w:rPr>
            <w:b/>
            <w:bCs/>
            <w:sz w:val="20"/>
          </w:rPr>
          <w:fldChar w:fldCharType="begin"/>
        </w:r>
        <w:r w:rsidRPr="00CC08E9">
          <w:rPr>
            <w:b/>
            <w:bCs/>
            <w:sz w:val="20"/>
          </w:rPr>
          <w:instrText xml:space="preserve"> PAGE </w:instrText>
        </w:r>
        <w:r w:rsidRPr="00CC08E9">
          <w:rPr>
            <w:b/>
            <w:bCs/>
            <w:sz w:val="20"/>
          </w:rPr>
          <w:fldChar w:fldCharType="separate"/>
        </w:r>
        <w:r w:rsidRPr="00CC08E9">
          <w:rPr>
            <w:b/>
            <w:bCs/>
            <w:noProof/>
            <w:sz w:val="20"/>
          </w:rPr>
          <w:t>2</w:t>
        </w:r>
        <w:r w:rsidRPr="00CC08E9">
          <w:rPr>
            <w:b/>
            <w:bCs/>
            <w:sz w:val="20"/>
          </w:rPr>
          <w:fldChar w:fldCharType="end"/>
        </w:r>
        <w:r w:rsidRPr="00CC08E9">
          <w:rPr>
            <w:b/>
            <w:bCs/>
            <w:sz w:val="20"/>
          </w:rPr>
          <w:t xml:space="preserve"> of </w:t>
        </w:r>
        <w:r w:rsidRPr="00CC08E9">
          <w:rPr>
            <w:b/>
            <w:bCs/>
            <w:sz w:val="20"/>
          </w:rPr>
          <w:fldChar w:fldCharType="begin"/>
        </w:r>
        <w:r w:rsidRPr="00CC08E9">
          <w:rPr>
            <w:b/>
            <w:bCs/>
            <w:sz w:val="20"/>
          </w:rPr>
          <w:instrText xml:space="preserve"> NUMPAGES  </w:instrText>
        </w:r>
        <w:r w:rsidRPr="00CC08E9">
          <w:rPr>
            <w:b/>
            <w:bCs/>
            <w:sz w:val="20"/>
          </w:rPr>
          <w:fldChar w:fldCharType="separate"/>
        </w:r>
        <w:r w:rsidRPr="00CC08E9">
          <w:rPr>
            <w:b/>
            <w:bCs/>
            <w:noProof/>
            <w:sz w:val="20"/>
          </w:rPr>
          <w:t>2</w:t>
        </w:r>
        <w:r w:rsidRPr="00CC08E9">
          <w:rPr>
            <w:b/>
            <w:bCs/>
            <w:sz w:val="20"/>
          </w:rPr>
          <w:fldChar w:fldCharType="end"/>
        </w:r>
      </w:p>
    </w:sdtContent>
  </w:sdt>
  <w:p w14:paraId="3304616B" w14:textId="77777777" w:rsidR="009C4BA2" w:rsidRDefault="009C4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5F9A"/>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C0EBF"/>
    <w:rsid w:val="001C28A6"/>
    <w:rsid w:val="001C38BF"/>
    <w:rsid w:val="001C3BDA"/>
    <w:rsid w:val="001C50B7"/>
    <w:rsid w:val="001D0EFA"/>
    <w:rsid w:val="001D1456"/>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4D57"/>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4B50"/>
    <w:rsid w:val="00375F64"/>
    <w:rsid w:val="00384670"/>
    <w:rsid w:val="00384BB8"/>
    <w:rsid w:val="0038660B"/>
    <w:rsid w:val="0038776A"/>
    <w:rsid w:val="00391CAF"/>
    <w:rsid w:val="0039363F"/>
    <w:rsid w:val="0039591B"/>
    <w:rsid w:val="00397341"/>
    <w:rsid w:val="003A1B53"/>
    <w:rsid w:val="003A2B88"/>
    <w:rsid w:val="003A338C"/>
    <w:rsid w:val="003A53E1"/>
    <w:rsid w:val="003A792C"/>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E69B2"/>
    <w:rsid w:val="004F3113"/>
    <w:rsid w:val="004F5B9F"/>
    <w:rsid w:val="005024E1"/>
    <w:rsid w:val="00511DED"/>
    <w:rsid w:val="00517C97"/>
    <w:rsid w:val="00534F34"/>
    <w:rsid w:val="00535DF6"/>
    <w:rsid w:val="0054012D"/>
    <w:rsid w:val="00545EEE"/>
    <w:rsid w:val="00547811"/>
    <w:rsid w:val="005528A6"/>
    <w:rsid w:val="00553BD2"/>
    <w:rsid w:val="00555E35"/>
    <w:rsid w:val="005617AE"/>
    <w:rsid w:val="00572C43"/>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5F7197"/>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312E"/>
    <w:rsid w:val="0075420D"/>
    <w:rsid w:val="007636DB"/>
    <w:rsid w:val="00764882"/>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4DC0"/>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B16"/>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4BA2"/>
    <w:rsid w:val="009C690A"/>
    <w:rsid w:val="009E3093"/>
    <w:rsid w:val="009E324E"/>
    <w:rsid w:val="009E3A90"/>
    <w:rsid w:val="009E4865"/>
    <w:rsid w:val="009E53B8"/>
    <w:rsid w:val="009E68FE"/>
    <w:rsid w:val="009F01B4"/>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0DD6"/>
    <w:rsid w:val="00A357F1"/>
    <w:rsid w:val="00A363EE"/>
    <w:rsid w:val="00A36FC0"/>
    <w:rsid w:val="00A37740"/>
    <w:rsid w:val="00A42644"/>
    <w:rsid w:val="00A435C2"/>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4BE"/>
    <w:rsid w:val="00C52FA8"/>
    <w:rsid w:val="00C535DC"/>
    <w:rsid w:val="00C541E5"/>
    <w:rsid w:val="00C55671"/>
    <w:rsid w:val="00C603C3"/>
    <w:rsid w:val="00C61F66"/>
    <w:rsid w:val="00C62386"/>
    <w:rsid w:val="00C64532"/>
    <w:rsid w:val="00C7196E"/>
    <w:rsid w:val="00C76D48"/>
    <w:rsid w:val="00C80568"/>
    <w:rsid w:val="00CA05B1"/>
    <w:rsid w:val="00CA2362"/>
    <w:rsid w:val="00CA3F65"/>
    <w:rsid w:val="00CA453C"/>
    <w:rsid w:val="00CB13E6"/>
    <w:rsid w:val="00CB3671"/>
    <w:rsid w:val="00CB6492"/>
    <w:rsid w:val="00CC08E9"/>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1656"/>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385A"/>
    <w:rsid w:val="00D8505F"/>
    <w:rsid w:val="00D863E0"/>
    <w:rsid w:val="00D866E0"/>
    <w:rsid w:val="00D867B1"/>
    <w:rsid w:val="00D86CB2"/>
    <w:rsid w:val="00D910BF"/>
    <w:rsid w:val="00D91C93"/>
    <w:rsid w:val="00D93340"/>
    <w:rsid w:val="00DA03AE"/>
    <w:rsid w:val="00DA1207"/>
    <w:rsid w:val="00DA2E1A"/>
    <w:rsid w:val="00DA3D1A"/>
    <w:rsid w:val="00DA4115"/>
    <w:rsid w:val="00DA4EF7"/>
    <w:rsid w:val="00DB052A"/>
    <w:rsid w:val="00DB09C5"/>
    <w:rsid w:val="00DB2527"/>
    <w:rsid w:val="00DB2B0A"/>
    <w:rsid w:val="00DC2B96"/>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0B94"/>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093D"/>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3F65"/>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9C4BA2"/>
    <w:rPr>
      <w:sz w:val="24"/>
    </w:rPr>
  </w:style>
  <w:style w:type="character" w:styleId="CommentReference">
    <w:name w:val="annotation reference"/>
    <w:basedOn w:val="DefaultParagraphFont"/>
    <w:rsid w:val="0075312E"/>
    <w:rPr>
      <w:sz w:val="16"/>
      <w:szCs w:val="16"/>
    </w:rPr>
  </w:style>
  <w:style w:type="paragraph" w:styleId="CommentText">
    <w:name w:val="annotation text"/>
    <w:basedOn w:val="Normal"/>
    <w:link w:val="CommentTextChar"/>
    <w:rsid w:val="0075312E"/>
    <w:rPr>
      <w:sz w:val="20"/>
    </w:rPr>
  </w:style>
  <w:style w:type="character" w:customStyle="1" w:styleId="CommentTextChar">
    <w:name w:val="Comment Text Char"/>
    <w:basedOn w:val="DefaultParagraphFont"/>
    <w:link w:val="CommentText"/>
    <w:rsid w:val="0075312E"/>
  </w:style>
  <w:style w:type="paragraph" w:styleId="CommentSubject">
    <w:name w:val="annotation subject"/>
    <w:basedOn w:val="CommentText"/>
    <w:next w:val="CommentText"/>
    <w:link w:val="CommentSubjectChar"/>
    <w:rsid w:val="0075312E"/>
    <w:rPr>
      <w:b/>
      <w:bCs/>
    </w:rPr>
  </w:style>
  <w:style w:type="character" w:customStyle="1" w:styleId="CommentSubjectChar">
    <w:name w:val="Comment Subject Char"/>
    <w:basedOn w:val="CommentTextChar"/>
    <w:link w:val="CommentSubject"/>
    <w:rsid w:val="007531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847988477">
      <w:bodyDiv w:val="1"/>
      <w:marLeft w:val="0"/>
      <w:marRight w:val="0"/>
      <w:marTop w:val="0"/>
      <w:marBottom w:val="0"/>
      <w:divBdr>
        <w:top w:val="none" w:sz="0" w:space="0" w:color="auto"/>
        <w:left w:val="none" w:sz="0" w:space="0" w:color="auto"/>
        <w:bottom w:val="none" w:sz="0" w:space="0" w:color="auto"/>
        <w:right w:val="none" w:sz="0" w:space="0" w:color="auto"/>
      </w:divBdr>
    </w:div>
    <w:div w:id="8958154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DF27-2A4E-4022-BED3-6411C1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Lander, Merritt</cp:lastModifiedBy>
  <cp:revision>9</cp:revision>
  <cp:lastPrinted>2017-08-24T13:59:00Z</cp:lastPrinted>
  <dcterms:created xsi:type="dcterms:W3CDTF">2021-01-29T15:22:00Z</dcterms:created>
  <dcterms:modified xsi:type="dcterms:W3CDTF">2021-02-04T19:18:00Z</dcterms:modified>
</cp:coreProperties>
</file>